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CA5545">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CA5545">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CA5545">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CA5545">
        <w:rPr>
          <w:rFonts w:eastAsia="SimSun"/>
          <w:color w:val="000000"/>
          <w:sz w:val="20"/>
          <w:szCs w:val="20"/>
        </w:rPr>
        <w:t>serviços de Internet</w:t>
      </w:r>
    </w:p>
    <w:p w14:paraId="7FE457C0" w14:textId="77777777" w:rsidR="008C57A3" w:rsidRPr="00BD1BA8" w:rsidRDefault="008E0947" w:rsidP="008C57A3">
      <w:pPr>
        <w:widowControl w:val="0"/>
      </w:pPr>
      <w:r w:rsidRPr="00CA5545">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CA5545">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CA5545">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CA5545">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CA5545">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CA5545">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CA5545">
        <w:rPr>
          <w:rFonts w:eastAsia="SimSun"/>
          <w:color w:val="000000"/>
          <w:sz w:val="20"/>
          <w:szCs w:val="20"/>
        </w:rPr>
        <w:t xml:space="preserve">Software. </w:t>
      </w:r>
      <w:r w:rsidRPr="00CA5545">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CA5545">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CA5545">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CA5545">
        <w:rPr>
          <w:rFonts w:eastAsia="SimSun"/>
          <w:color w:val="000000"/>
          <w:sz w:val="20"/>
          <w:szCs w:val="20"/>
        </w:rPr>
        <w:t xml:space="preserve">Modelo de Licença. </w:t>
      </w:r>
      <w:r w:rsidRPr="00CA5545">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CA5545">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CA5545">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CA5545">
        <w:rPr>
          <w:rFonts w:eastAsia="SimSun"/>
          <w:b/>
          <w:bCs/>
          <w:color w:val="000000"/>
          <w:sz w:val="20"/>
          <w:szCs w:val="20"/>
        </w:rPr>
        <w:t>Instância.</w:t>
      </w:r>
      <w:r w:rsidRPr="00CA5545">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CA5545">
        <w:rPr>
          <w:rFonts w:eastAsia="SimSun"/>
          <w:b/>
          <w:bCs/>
          <w:color w:val="000000"/>
          <w:sz w:val="20"/>
          <w:szCs w:val="20"/>
        </w:rPr>
        <w:t>Execução de uma Instância.</w:t>
      </w:r>
      <w:r w:rsidRPr="00CA5545">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CA5545">
        <w:rPr>
          <w:rFonts w:eastAsia="SimSun"/>
          <w:b/>
          <w:bCs/>
          <w:color w:val="000000"/>
          <w:sz w:val="20"/>
          <w:szCs w:val="20"/>
        </w:rPr>
        <w:lastRenderedPageBreak/>
        <w:t>Ambiente de Sistema Operacional.</w:t>
      </w:r>
      <w:r w:rsidRPr="00CA5545">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CA5545">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CA5545">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CA5545">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CA5545">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CA5545">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CA5545">
        <w:rPr>
          <w:rFonts w:eastAsia="SimSun"/>
          <w:b/>
          <w:bCs/>
          <w:color w:val="000000"/>
          <w:sz w:val="20"/>
          <w:szCs w:val="20"/>
        </w:rPr>
        <w:t>Servidor.</w:t>
      </w:r>
      <w:r w:rsidRPr="00CA5545">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CA5545">
        <w:rPr>
          <w:rFonts w:eastAsia="SimSun"/>
          <w:b/>
          <w:bCs/>
          <w:color w:val="000000"/>
          <w:sz w:val="20"/>
          <w:szCs w:val="20"/>
        </w:rPr>
        <w:t>Processadores Físicos e Virtuais.</w:t>
      </w:r>
      <w:r w:rsidRPr="00CA5545">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CA5545">
        <w:rPr>
          <w:rFonts w:eastAsia="SimSun"/>
          <w:b/>
          <w:bCs/>
          <w:color w:val="000000"/>
          <w:sz w:val="20"/>
          <w:szCs w:val="20"/>
        </w:rPr>
        <w:t>Cessão de uma Licença.</w:t>
      </w:r>
      <w:r w:rsidRPr="00CA5545">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CA5545">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CA5545">
        <w:rPr>
          <w:rFonts w:eastAsia="SimSun"/>
          <w:color w:val="000000"/>
          <w:sz w:val="20"/>
          <w:szCs w:val="20"/>
        </w:rPr>
        <w:t>Licenciamento de um Servidor.</w:t>
      </w:r>
      <w:r w:rsidRPr="00CA5545">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CA5545">
        <w:rPr>
          <w:rFonts w:eastAsia="SimSun"/>
          <w:b/>
          <w:bCs/>
          <w:color w:val="000000"/>
          <w:sz w:val="20"/>
          <w:szCs w:val="20"/>
        </w:rPr>
        <w:t>Determinação do Número de Licenças Necessário.</w:t>
      </w:r>
      <w:r w:rsidRPr="00CA5545">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CA5545">
        <w:rPr>
          <w:rFonts w:eastAsia="SimSun"/>
          <w:color w:val="000000"/>
          <w:sz w:val="20"/>
          <w:szCs w:val="20"/>
        </w:rPr>
        <w:t xml:space="preserve">Virtualização Ilimitada. </w:t>
      </w:r>
      <w:r w:rsidRPr="00CA5545">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CA5545">
        <w:rPr>
          <w:rFonts w:eastAsia="SimSun"/>
          <w:color w:val="000000"/>
          <w:sz w:val="20"/>
          <w:szCs w:val="20"/>
        </w:rPr>
        <w:t xml:space="preserve">Licenciamento com Base nos Processadores Usados. </w:t>
      </w:r>
      <w:r w:rsidRPr="00CA5545">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CA5545">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CA5545">
        <w:rPr>
          <w:rFonts w:eastAsia="SimSun"/>
          <w:color w:val="000000"/>
          <w:sz w:val="20"/>
          <w:szCs w:val="20"/>
        </w:rPr>
        <w:t>(B) Para executar instâncias do software de servidor no ambiente de sistema operacional virtual em um servidor, será necessária uma licença de software para cada processador</w:t>
      </w:r>
      <w:r w:rsidRPr="00CA5545">
        <w:rPr>
          <w:rFonts w:eastAsia="SimSun"/>
          <w:color w:val="000000"/>
          <w:sz w:val="20"/>
          <w:szCs w:val="20"/>
          <w:vertAlign w:val="superscript"/>
        </w:rPr>
        <w:t>1</w:t>
      </w:r>
      <w:r w:rsidRPr="00CA5545">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CA5545">
        <w:rPr>
          <w:bCs/>
          <w:color w:val="000000"/>
          <w:sz w:val="18"/>
          <w:szCs w:val="18"/>
          <w:vertAlign w:val="superscript"/>
        </w:rPr>
        <w:t>1</w:t>
      </w:r>
      <w:r w:rsidRPr="00CA5545">
        <w:rPr>
          <w:color w:val="000000"/>
          <w:sz w:val="18"/>
          <w:szCs w:val="18"/>
          <w:vertAlign w:val="superscript"/>
        </w:rPr>
        <w:t xml:space="preserve"> </w:t>
      </w:r>
      <w:r w:rsidRPr="00CA5545">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CA5545">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CA5545">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CA5545">
        <w:rPr>
          <w:i/>
          <w:color w:val="000000"/>
          <w:sz w:val="16"/>
          <w:szCs w:val="16"/>
        </w:rPr>
        <w:lastRenderedPageBreak/>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CA5545">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CA5545">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CA5545">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CA5545">
        <w:rPr>
          <w:rFonts w:eastAsia="SimSun"/>
          <w:color w:val="000000"/>
          <w:sz w:val="20"/>
          <w:szCs w:val="20"/>
        </w:rPr>
        <w:t xml:space="preserve">Execução de Instâncias do Software de Servidor. </w:t>
      </w:r>
      <w:r w:rsidRPr="00CA5545">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CA5545">
        <w:rPr>
          <w:rFonts w:eastAsia="SimSun"/>
          <w:b/>
          <w:bCs/>
          <w:color w:val="000000"/>
          <w:sz w:val="20"/>
          <w:szCs w:val="20"/>
        </w:rPr>
        <w:t xml:space="preserve">Virtualização Ilimitada. </w:t>
      </w:r>
      <w:r w:rsidRPr="00CA5545">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CA5545">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CA5545">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CA5545">
        <w:rPr>
          <w:rFonts w:eastAsia="SimSun"/>
          <w:b/>
          <w:bCs/>
          <w:color w:val="000000"/>
          <w:spacing w:val="-2"/>
          <w:sz w:val="20"/>
          <w:szCs w:val="20"/>
        </w:rPr>
        <w:t>Licenciamento com Base nos Processadores Usados.</w:t>
      </w:r>
      <w:r w:rsidRPr="00CA5545">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CA5545">
        <w:rPr>
          <w:rFonts w:eastAsia="SimSun"/>
          <w:color w:val="000000"/>
          <w:sz w:val="20"/>
          <w:szCs w:val="20"/>
        </w:rPr>
        <w:t xml:space="preserve">Execução de Instâncias dos Softwares Adicionais. </w:t>
      </w:r>
      <w:r w:rsidRPr="00CA5545">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CA5545">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CA5545">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CA5545">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CA5545">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CA5545">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CA5545">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CA5545">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CA5545">
        <w:rPr>
          <w:rFonts w:eastAsia="SimSun"/>
          <w:color w:val="000000"/>
          <w:sz w:val="20"/>
          <w:szCs w:val="20"/>
        </w:rPr>
        <w:t xml:space="preserve">Snap-In PowerShell </w:t>
      </w:r>
    </w:p>
    <w:p w14:paraId="6DD4EEAB" w14:textId="471BB0C4" w:rsidR="00246C3E" w:rsidRPr="00BD1BA8" w:rsidRDefault="003B1330">
      <w:pPr>
        <w:pStyle w:val="Bullet3"/>
        <w:widowControl w:val="0"/>
      </w:pPr>
      <w:r w:rsidRPr="00CA5545">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r>
      <w:r w:rsidRPr="00CA5545">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CA5545">
        <w:rPr>
          <w:rFonts w:eastAsia="SimSun"/>
          <w:color w:val="000000"/>
          <w:sz w:val="20"/>
          <w:szCs w:val="20"/>
        </w:rPr>
        <w:t xml:space="preserve">Criação e Armazenamento de Instâncias nos Servidores e em Mídia de Armazenamento. </w:t>
      </w:r>
      <w:r w:rsidRPr="00CA5545">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CA5545">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CA5545">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CA5545">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CA5545">
        <w:rPr>
          <w:rFonts w:eastAsia="SimSun"/>
          <w:color w:val="000000"/>
          <w:sz w:val="20"/>
          <w:szCs w:val="20"/>
        </w:rPr>
        <w:t xml:space="preserve">Programas Microsoft Incluídos. </w:t>
      </w:r>
      <w:r w:rsidRPr="00CA5545">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CA5545">
        <w:rPr>
          <w:rFonts w:eastAsia="SimSun"/>
          <w:color w:val="000000"/>
          <w:sz w:val="20"/>
          <w:szCs w:val="20"/>
        </w:rPr>
        <w:t xml:space="preserve">Programas de Terceiros. </w:t>
      </w:r>
      <w:r w:rsidRPr="00CA5545">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CA5545">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CA5545">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CA5545">
        <w:rPr>
          <w:rFonts w:eastAsia="SimSun"/>
          <w:bCs w:val="0"/>
          <w:color w:val="000000"/>
          <w:sz w:val="20"/>
          <w:szCs w:val="20"/>
        </w:rPr>
        <w:t xml:space="preserve">Software de Uso Restrito ao Tempo de Execução. </w:t>
      </w:r>
      <w:r w:rsidRPr="00CA5545">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CA5545">
        <w:rPr>
          <w:rFonts w:eastAsia="SimSun"/>
          <w:color w:val="000000"/>
          <w:sz w:val="20"/>
          <w:szCs w:val="20"/>
        </w:rPr>
        <w:t xml:space="preserve">Nenhuma Licença de Acesso para Cliente (CAL) É Necessária ao Acesso. </w:t>
      </w:r>
      <w:r w:rsidRPr="00CA5545">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CA5545">
        <w:rPr>
          <w:rFonts w:eastAsia="SimSun"/>
          <w:color w:val="000000"/>
          <w:sz w:val="20"/>
          <w:szCs w:val="20"/>
        </w:rPr>
        <w:t xml:space="preserve">Multiplexação. </w:t>
      </w:r>
      <w:r w:rsidRPr="00CA5545">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CA5545">
        <w:rPr>
          <w:rFonts w:eastAsia="SimSun"/>
          <w:color w:val="000000"/>
          <w:sz w:val="20"/>
          <w:szCs w:val="20"/>
        </w:rPr>
        <w:t>reunir conexões,</w:t>
      </w:r>
    </w:p>
    <w:p w14:paraId="2712F795" w14:textId="77777777" w:rsidR="00246C3E" w:rsidRPr="00BD1BA8" w:rsidRDefault="008E0947">
      <w:pPr>
        <w:pStyle w:val="Bullet3"/>
        <w:widowControl w:val="0"/>
      </w:pPr>
      <w:r w:rsidRPr="00CA5545">
        <w:rPr>
          <w:rFonts w:eastAsia="SimSun"/>
          <w:color w:val="000000"/>
          <w:sz w:val="20"/>
          <w:szCs w:val="20"/>
        </w:rPr>
        <w:t>reencaminhar informações ou</w:t>
      </w:r>
    </w:p>
    <w:p w14:paraId="1DB0D9FC" w14:textId="77777777" w:rsidR="00246C3E" w:rsidRPr="00BD1BA8" w:rsidRDefault="008E0947">
      <w:pPr>
        <w:pStyle w:val="Bullet3"/>
        <w:widowControl w:val="0"/>
      </w:pPr>
      <w:r w:rsidRPr="00CA5545">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CA5545">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CA5545">
        <w:rPr>
          <w:rFonts w:eastAsia="SimSun"/>
          <w:color w:val="000000"/>
          <w:sz w:val="20"/>
          <w:szCs w:val="20"/>
        </w:rPr>
        <w:t xml:space="preserve">Sem Separação do Software para Servidores. </w:t>
      </w:r>
      <w:r w:rsidRPr="00CA5545">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CA5545">
        <w:rPr>
          <w:rFonts w:eastAsia="SimSun"/>
          <w:color w:val="000000"/>
          <w:sz w:val="20"/>
          <w:szCs w:val="20"/>
        </w:rPr>
        <w:t>Instâncias Máximas.</w:t>
      </w:r>
      <w:r w:rsidRPr="00CA5545">
        <w:rPr>
          <w:rFonts w:eastAsia="SimSun"/>
          <w:b w:val="0"/>
          <w:color w:val="000000"/>
          <w:sz w:val="20"/>
          <w:szCs w:val="20"/>
        </w:rPr>
        <w:t xml:space="preserve"> </w:t>
      </w:r>
      <w:r w:rsidRPr="00CA5545">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CA5545">
        <w:rPr>
          <w:rFonts w:eastAsia="SimSun"/>
          <w:color w:val="000000"/>
          <w:sz w:val="20"/>
          <w:szCs w:val="20"/>
        </w:rPr>
        <w:t xml:space="preserve">Funcionalidade Adicional. </w:t>
      </w:r>
      <w:r w:rsidRPr="00CA5545">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CA5545">
        <w:rPr>
          <w:rFonts w:eastAsia="SimSun"/>
          <w:color w:val="000000"/>
          <w:sz w:val="20"/>
          <w:szCs w:val="20"/>
        </w:rPr>
        <w:t>Skype para Empresas 2015 em UISuppressionMode</w:t>
      </w:r>
      <w:r w:rsidRPr="00CA5545">
        <w:rPr>
          <w:rFonts w:eastAsia="SimSun"/>
          <w:bCs w:val="0"/>
          <w:color w:val="000000"/>
          <w:sz w:val="20"/>
          <w:szCs w:val="20"/>
        </w:rPr>
        <w:t>.</w:t>
      </w:r>
      <w:r w:rsidRPr="00CA5545">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CA5545">
        <w:rPr>
          <w:rFonts w:eastAsia="SimSun"/>
          <w:color w:val="000000"/>
          <w:sz w:val="20"/>
          <w:szCs w:val="20"/>
        </w:rPr>
        <w:t xml:space="preserve">SERVIÇOS DE INTERNET. </w:t>
      </w:r>
      <w:r w:rsidRPr="00CA5545">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CA5545">
        <w:rPr>
          <w:rFonts w:eastAsia="SimSun"/>
          <w:color w:val="000000"/>
          <w:sz w:val="20"/>
          <w:szCs w:val="20"/>
        </w:rPr>
        <w:t xml:space="preserve">COMPONENTES DA MARCA SQL </w:t>
      </w:r>
      <w:r w:rsidRPr="00CA5545">
        <w:rPr>
          <w:color w:val="000000"/>
          <w:sz w:val="20"/>
          <w:szCs w:val="20"/>
        </w:rPr>
        <w:t>SERVER</w:t>
      </w:r>
      <w:r w:rsidRPr="00CA5545">
        <w:rPr>
          <w:b w:val="0"/>
          <w:bCs w:val="0"/>
          <w:color w:val="000000"/>
          <w:sz w:val="24"/>
          <w:szCs w:val="24"/>
          <w:vertAlign w:val="superscript"/>
        </w:rPr>
        <w:sym w:font="Symbol" w:char="F0E2"/>
      </w:r>
      <w:r w:rsidRPr="00CA5545">
        <w:rPr>
          <w:color w:val="000000"/>
          <w:sz w:val="20"/>
          <w:szCs w:val="20"/>
        </w:rPr>
        <w:t xml:space="preserve">. </w:t>
      </w:r>
      <w:r w:rsidRPr="00CA5545">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CA5545">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CA5545">
        <w:rPr>
          <w:rFonts w:eastAsia="SimSun"/>
          <w:color w:val="000000"/>
          <w:sz w:val="20"/>
          <w:szCs w:val="20"/>
        </w:rPr>
        <w:t xml:space="preserve">SOFTWARE .NET FRAMEWORK. </w:t>
      </w:r>
      <w:r w:rsidRPr="00CA5545">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CA5545">
        <w:rPr>
          <w:rFonts w:eastAsia="SimSun"/>
          <w:color w:val="000000"/>
          <w:sz w:val="20"/>
          <w:szCs w:val="20"/>
        </w:rPr>
        <w:t xml:space="preserve">TESTE DE BENCHMARK. </w:t>
      </w:r>
      <w:r w:rsidRPr="00CA5545">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CA5545">
        <w:rPr>
          <w:rFonts w:eastAsia="SimSun"/>
          <w:color w:val="000000"/>
          <w:sz w:val="20"/>
          <w:szCs w:val="20"/>
        </w:rPr>
        <w:t xml:space="preserve">TESTE DE BENCHMARK DO MICROSOFT .NET FRAMEWORK. </w:t>
      </w:r>
      <w:r w:rsidRPr="00CA5545">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CA5545">
        <w:rPr>
          <w:rFonts w:eastAsia="SimSun"/>
          <w:color w:val="000000"/>
          <w:sz w:val="20"/>
          <w:szCs w:val="20"/>
        </w:rPr>
        <w:t xml:space="preserve">ESCOPO DA LICENÇA. </w:t>
      </w:r>
      <w:r w:rsidRPr="00CA5545">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CA5545">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CA5545">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CA5545">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CA5545">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CA5545">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CA5545">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CA5545">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CA5545">
        <w:rPr>
          <w:rFonts w:eastAsia="SimSun"/>
          <w:color w:val="000000"/>
          <w:sz w:val="20"/>
          <w:szCs w:val="20"/>
        </w:rPr>
        <w:t xml:space="preserve">VERSÕES ALTERNATIVAS. </w:t>
      </w:r>
      <w:r w:rsidRPr="00CA5545">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CA5545">
        <w:rPr>
          <w:rFonts w:eastAsia="SimSun"/>
          <w:color w:val="000000"/>
          <w:sz w:val="20"/>
          <w:szCs w:val="20"/>
        </w:rPr>
        <w:t>CÓPIA DE BACKUP.</w:t>
      </w:r>
    </w:p>
    <w:p w14:paraId="1E2CF594" w14:textId="77777777" w:rsidR="00246C3E" w:rsidRPr="00BD1BA8" w:rsidRDefault="008E0947">
      <w:pPr>
        <w:pStyle w:val="Heading2"/>
        <w:widowControl w:val="0"/>
      </w:pPr>
      <w:r w:rsidRPr="00CA5545">
        <w:rPr>
          <w:rFonts w:eastAsia="SimSun"/>
          <w:color w:val="000000"/>
          <w:sz w:val="20"/>
          <w:szCs w:val="20"/>
        </w:rPr>
        <w:t xml:space="preserve">Mídia. </w:t>
      </w:r>
      <w:r w:rsidRPr="00CA5545">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CA5545">
        <w:rPr>
          <w:rFonts w:eastAsia="SimSun"/>
          <w:color w:val="000000"/>
          <w:sz w:val="20"/>
          <w:szCs w:val="20"/>
        </w:rPr>
        <w:t xml:space="preserve">Download Eletrônico. </w:t>
      </w:r>
      <w:r w:rsidRPr="00CA5545">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CA5545">
        <w:rPr>
          <w:rFonts w:eastAsia="SimSun"/>
          <w:color w:val="000000"/>
          <w:sz w:val="20"/>
          <w:szCs w:val="20"/>
        </w:rPr>
        <w:t xml:space="preserve">DOCUMENTAÇÃO. </w:t>
      </w:r>
      <w:r w:rsidRPr="00CA5545">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CA5545">
        <w:rPr>
          <w:rFonts w:eastAsia="SimSun"/>
          <w:color w:val="000000"/>
          <w:sz w:val="20"/>
          <w:szCs w:val="20"/>
        </w:rPr>
        <w:t xml:space="preserve">SOFTWARE NÃO DESTINADO À REVENDA. </w:t>
      </w:r>
      <w:r w:rsidRPr="00CA5545">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CA5545">
        <w:rPr>
          <w:rFonts w:eastAsia="SimSun"/>
          <w:color w:val="000000"/>
          <w:sz w:val="20"/>
          <w:szCs w:val="20"/>
        </w:rPr>
        <w:t xml:space="preserve">SOFTWARE DE EDIÇÃO ACADÊMICA. </w:t>
      </w:r>
      <w:r w:rsidRPr="00CA5545">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CA5545">
        <w:rPr>
          <w:rFonts w:eastAsia="SimSun"/>
          <w:color w:val="000000"/>
          <w:sz w:val="20"/>
          <w:szCs w:val="20"/>
        </w:rPr>
        <w:t>NOTIFICAÇÃO SOBRE O PADRÃO VISUAL VC-1.</w:t>
      </w:r>
      <w:r w:rsidRPr="00CA5545">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CA5545">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CA5545">
        <w:rPr>
          <w:rFonts w:eastAsia="SimSun"/>
          <w:color w:val="000000"/>
          <w:sz w:val="20"/>
          <w:szCs w:val="20"/>
        </w:rPr>
        <w:t>Caso você tenha dúvidas em relação ao Padrão Visual VC-1, contate a MPEG LA, L.L.C., 250 Steele Street, Suite 300, Denver, Colorado 80206, USA;</w:t>
      </w:r>
      <w:r w:rsidR="008C49B0" w:rsidRPr="00CA5545">
        <w:rPr>
          <w:rFonts w:eastAsia="SimSun"/>
          <w:color w:val="000000"/>
          <w:sz w:val="20"/>
          <w:szCs w:val="20"/>
        </w:rPr>
        <w:t xml:space="preserve"> </w:t>
      </w:r>
      <w:r w:rsidRPr="00CA5545">
        <w:rPr>
          <w:rFonts w:eastAsia="SimSun"/>
          <w:color w:val="000000"/>
          <w:sz w:val="20"/>
          <w:szCs w:val="20"/>
        </w:rPr>
        <w:t>www.mpeg</w:t>
      </w:r>
      <w:r w:rsidR="005D187B" w:rsidRPr="00CA5545">
        <w:rPr>
          <w:rFonts w:eastAsia="SimSun"/>
          <w:color w:val="000000"/>
          <w:sz w:val="20"/>
          <w:szCs w:val="20"/>
        </w:rPr>
        <w:t>la.com</w:t>
      </w:r>
      <w:r w:rsidRPr="00CA5545">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CA5545">
        <w:rPr>
          <w:rFonts w:eastAsia="SimSun"/>
          <w:color w:val="000000"/>
          <w:sz w:val="20"/>
          <w:szCs w:val="20"/>
        </w:rPr>
        <w:t xml:space="preserve">RESTRIÇÕES DE EXPORTAÇÃO. </w:t>
      </w:r>
      <w:r w:rsidRPr="00CA5545">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CA5545">
        <w:rPr>
          <w:rStyle w:val="Hyperlink"/>
          <w:rFonts w:eastAsia="SimSun" w:cs="Tahoma"/>
          <w:b w:val="0"/>
          <w:bCs w:val="0"/>
          <w:color w:val="000000"/>
          <w:sz w:val="20"/>
          <w:szCs w:val="20"/>
          <w:u w:val="none"/>
        </w:rPr>
        <w:t>www.microsoft.com/exporting</w:t>
      </w:r>
      <w:r w:rsidRPr="00CA5545">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CA5545">
        <w:rPr>
          <w:rFonts w:eastAsia="SimSun"/>
          <w:color w:val="000000"/>
          <w:sz w:val="20"/>
          <w:szCs w:val="20"/>
        </w:rPr>
        <w:t xml:space="preserve">ACORDO INTEGRAL. </w:t>
      </w:r>
      <w:r w:rsidRPr="00CA5545">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CA5545">
        <w:rPr>
          <w:rFonts w:eastAsia="SimSun"/>
          <w:color w:val="000000"/>
          <w:sz w:val="20"/>
          <w:szCs w:val="20"/>
        </w:rPr>
        <w:t xml:space="preserve">EFEITO LEGAL. </w:t>
      </w:r>
      <w:r w:rsidRPr="00CA5545">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CA5545">
        <w:rPr>
          <w:color w:val="000000"/>
          <w:sz w:val="20"/>
          <w:szCs w:val="20"/>
          <w:u w:val="single"/>
        </w:rPr>
        <w:t>INTOLERÂNCIA A FALHAS</w:t>
      </w:r>
      <w:r w:rsidRPr="00CA5545">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CA5545">
        <w:rPr>
          <w:color w:val="000000"/>
          <w:spacing w:val="-2"/>
          <w:sz w:val="20"/>
          <w:szCs w:val="20"/>
          <w:u w:val="single"/>
        </w:rPr>
        <w:t>INEXISTÊNCIA DE OUTRAS GARANTIAS DA MICROSOFT</w:t>
      </w:r>
      <w:r w:rsidRPr="00CA5545">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CA5545">
        <w:rPr>
          <w:color w:val="000000"/>
          <w:sz w:val="20"/>
          <w:szCs w:val="20"/>
          <w:u w:val="single"/>
        </w:rPr>
        <w:t>ISENÇÃO DE RESPONSABILIDADE DA MICROSOFT POR DETERMINADOS DANOS</w:t>
      </w:r>
      <w:r w:rsidRPr="00CA5545">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CA5545">
        <w:rPr>
          <w:color w:val="000000"/>
          <w:sz w:val="20"/>
          <w:szCs w:val="20"/>
          <w:u w:val="single"/>
        </w:rPr>
        <w:t>APENAS PARA A AUSTRÁLIA</w:t>
      </w:r>
      <w:r w:rsidRPr="00CA5545">
        <w:rPr>
          <w:color w:val="000000"/>
          <w:sz w:val="20"/>
          <w:szCs w:val="20"/>
        </w:rPr>
        <w:t>. As referências à “</w:t>
      </w:r>
      <w:r w:rsidRPr="00CA5545">
        <w:rPr>
          <w:rFonts w:eastAsia="SimSun"/>
          <w:color w:val="000000"/>
          <w:sz w:val="20"/>
          <w:szCs w:val="20"/>
        </w:rPr>
        <w:t>Garantia Limitada</w:t>
      </w:r>
      <w:r w:rsidRPr="00CA5545">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CA5545">
        <w:rPr>
          <w:rFonts w:eastAsia="SimSun"/>
          <w:color w:val="000000"/>
          <w:sz w:val="20"/>
          <w:szCs w:val="20"/>
        </w:rPr>
        <w:t>Lei de</w:t>
      </w:r>
      <w:r w:rsidRPr="00CA5545">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CA5545">
        <w:rPr>
          <w:rFonts w:eastAsia="SimSun"/>
          <w:b/>
          <w:color w:val="000000"/>
          <w:sz w:val="20"/>
          <w:szCs w:val="20"/>
        </w:rPr>
        <w:t>Se a Lei de Consumo Australiana se aplicar à sua compra, o termo a seguir se aplicará a você:</w:t>
      </w:r>
      <w:r w:rsidRPr="00CA5545">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CA5545">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1A82" w14:textId="384B2C71"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CA5545">
      <w:rPr>
        <w:noProof/>
      </w:rPr>
      <w:t>2</w:t>
    </w:r>
    <w:r w:rsidRPr="00C36E7D">
      <w:fldChar w:fldCharType="end"/>
    </w:r>
    <w:r w:rsidRPr="00C36E7D">
      <w:t xml:space="preserve"> of </w:t>
    </w:r>
    <w:r w:rsidR="00CA5545">
      <w:fldChar w:fldCharType="begin"/>
    </w:r>
    <w:r w:rsidR="00CA5545">
      <w:instrText xml:space="preserve"> NUMPAGES   \* MERGEFORMAT </w:instrText>
    </w:r>
    <w:r w:rsidR="00CA5545">
      <w:fldChar w:fldCharType="separate"/>
    </w:r>
    <w:r w:rsidR="00CA5545">
      <w:rPr>
        <w:noProof/>
      </w:rPr>
      <w:t>3</w:t>
    </w:r>
    <w:r w:rsidR="00CA5545">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CA5545">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1CD51793" w:rsidR="00246C3E" w:rsidRDefault="00CA5545">
    <w:pPr>
      <w:pStyle w:val="Header"/>
    </w:pPr>
    <w:r>
      <w:rPr>
        <w:noProof/>
      </w:rPr>
      <w:pict w14:anchorId="401FBE5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Q4OTLiAIsXiakojFABHgEmmoJZ4CbpTbJ/EYF7/4onxSyA49JBS23OTPU+GfHpJEW4gt/73WvOMU9eVUJ6FXg==" w:salt="DMAJnRktey2zol6YYp/6M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E0E33"/>
    <w:rsid w:val="0054113F"/>
    <w:rsid w:val="00547D3A"/>
    <w:rsid w:val="005A358C"/>
    <w:rsid w:val="005C04E6"/>
    <w:rsid w:val="005D187B"/>
    <w:rsid w:val="00617361"/>
    <w:rsid w:val="006241C4"/>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A5545"/>
    <w:rsid w:val="00CC6195"/>
    <w:rsid w:val="00CC7B07"/>
    <w:rsid w:val="00CE02A5"/>
    <w:rsid w:val="00D17D99"/>
    <w:rsid w:val="00D418A1"/>
    <w:rsid w:val="00D5523E"/>
    <w:rsid w:val="00DF6B2A"/>
    <w:rsid w:val="00E4561C"/>
    <w:rsid w:val="00E756A6"/>
    <w:rsid w:val="00E94D2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7E38AAA2-4D16-41D5-B360-8EC61BFC0E76}"/>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01A233ED-BDC2-4D32-BCD8-1086CAED015F}">
  <ds:schemaRefs>
    <ds:schemaRef ds:uri="http://schemas.openxmlformats.org/officeDocument/2006/bibliography"/>
  </ds:schemaRefs>
</ds:datastoreItem>
</file>

<file path=customXml/itemProps7.xml><?xml version="1.0" encoding="utf-8"?>
<ds:datastoreItem xmlns:ds="http://schemas.openxmlformats.org/officeDocument/2006/customXml" ds:itemID="{1E6485BD-3608-4202-A695-D390B4A9F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